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9" w:rsidRPr="00F60502" w:rsidRDefault="004C2699" w:rsidP="004C2699">
      <w:pPr>
        <w:bidi/>
        <w:jc w:val="both"/>
        <w:rPr>
          <w:rFonts w:ascii="Tahoma" w:hAnsi="Tahoma" w:cs="Tahoma" w:hint="cs"/>
          <w:sz w:val="32"/>
          <w:szCs w:val="32"/>
          <w:lang w:bidi="ar-MA"/>
        </w:rPr>
      </w:pPr>
    </w:p>
    <w:p w:rsidR="004C2699" w:rsidRPr="00F60502" w:rsidRDefault="004C2699" w:rsidP="00593FF9">
      <w:pPr>
        <w:pStyle w:val="Titre1"/>
        <w:bidi/>
        <w:spacing w:before="0" w:after="0"/>
        <w:rPr>
          <w:rFonts w:ascii="Tahoma" w:hAnsi="Tahoma" w:cs="Tahoma"/>
        </w:rPr>
      </w:pPr>
      <w:bookmarkStart w:id="0" w:name="_Toc347494339"/>
      <w:bookmarkStart w:id="1" w:name="_Toc351960719"/>
      <w:r>
        <w:rPr>
          <w:rFonts w:ascii="Tahoma" w:hAnsi="Tahoma" w:cs="Tahoma" w:hint="cs"/>
          <w:rtl/>
          <w:lang w:bidi="ar-MA"/>
        </w:rPr>
        <w:t>2</w:t>
      </w:r>
      <w:r w:rsidR="00593FF9">
        <w:rPr>
          <w:rFonts w:ascii="Tahoma" w:hAnsi="Tahoma" w:cs="Tahoma" w:hint="cs"/>
          <w:rtl/>
          <w:lang w:bidi="ar-MA"/>
        </w:rPr>
        <w:t>0</w:t>
      </w:r>
      <w:r>
        <w:rPr>
          <w:rFonts w:ascii="Tahoma" w:hAnsi="Tahoma" w:cs="Tahoma" w:hint="cs"/>
          <w:rtl/>
          <w:lang w:bidi="ar-MA"/>
        </w:rPr>
        <w:t xml:space="preserve">- </w:t>
      </w:r>
      <w:r w:rsidRPr="00F60502">
        <w:rPr>
          <w:rFonts w:ascii="Tahoma" w:hAnsi="Tahoma" w:cs="Tahoma"/>
          <w:rtl/>
          <w:lang w:bidi="ar-MA"/>
        </w:rPr>
        <w:t xml:space="preserve">المهدي بن عبد الرحمان بن عبد الواحد </w:t>
      </w:r>
      <w:r w:rsidRPr="00F60502">
        <w:rPr>
          <w:rFonts w:ascii="Tahoma" w:hAnsi="Tahoma" w:cs="Tahoma"/>
          <w:rtl/>
        </w:rPr>
        <w:t>ابن سودة</w:t>
      </w:r>
      <w:bookmarkEnd w:id="0"/>
      <w:r w:rsidRPr="00F60502">
        <w:rPr>
          <w:rFonts w:ascii="Tahoma" w:hAnsi="Tahoma" w:cs="Tahoma"/>
          <w:rtl/>
        </w:rPr>
        <w:t xml:space="preserve"> المري</w:t>
      </w:r>
      <w:bookmarkEnd w:id="1"/>
    </w:p>
    <w:p w:rsidR="004C2699" w:rsidRPr="00F60502" w:rsidRDefault="004C2699" w:rsidP="004C2699">
      <w:pPr>
        <w:bidi/>
        <w:jc w:val="center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توفي عام 1343هـ الموافق لسنة 1912م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المهدي بن عبد الرحمان بن عبد الواحد بن الشيخ أحمد القاضي بن الشيخ </w:t>
      </w:r>
      <w:r>
        <w:rPr>
          <w:rFonts w:ascii="Tahoma" w:hAnsi="Tahoma" w:cs="Tahoma" w:hint="cs"/>
          <w:sz w:val="32"/>
          <w:szCs w:val="32"/>
          <w:rtl/>
          <w:lang w:bidi="ar-MA"/>
        </w:rPr>
        <w:t xml:space="preserve">محمد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>التاودي</w:t>
      </w:r>
      <w:r w:rsidRPr="008A5490">
        <w:rPr>
          <w:rFonts w:ascii="Tahoma" w:hAnsi="Tahoma" w:cs="Tahoma"/>
          <w:sz w:val="32"/>
          <w:szCs w:val="32"/>
          <w:rtl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 xml:space="preserve">بن محمد الطالب بن 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</w:t>
      </w:r>
      <w:r w:rsidRPr="00F60502">
        <w:rPr>
          <w:rFonts w:ascii="Tahoma" w:hAnsi="Tahoma" w:cs="Tahoma"/>
          <w:sz w:val="32"/>
          <w:szCs w:val="32"/>
          <w:rtl/>
        </w:rPr>
        <w:t xml:space="preserve">محمد بن علي </w:t>
      </w:r>
      <w:r w:rsidRPr="00F60502">
        <w:rPr>
          <w:rFonts w:ascii="Tahoma" w:hAnsi="Tahoma" w:cs="Tahoma"/>
          <w:sz w:val="32"/>
          <w:szCs w:val="32"/>
          <w:rtl/>
          <w:lang w:bidi="ar-MA"/>
        </w:rPr>
        <w:t xml:space="preserve">بن أبي القاسم (3) </w:t>
      </w:r>
      <w:r w:rsidRPr="00F60502">
        <w:rPr>
          <w:rFonts w:ascii="Tahoma" w:hAnsi="Tahoma" w:cs="Tahoma"/>
          <w:sz w:val="32"/>
          <w:szCs w:val="32"/>
          <w:rtl/>
        </w:rPr>
        <w:t>ابن سودة المري القريشي، الفقيه العلامة المشارك المطلع، صاحب الخط الحسن، كان يقول الشعر ولا يطيل فيه.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أخذ عن الشيخ محمد بن المدني كنون، وعن الشيخ أحمد بن أحمد بناني كلا، وعن الشيخ أحمد بن الخياط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الزكاري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>، وعن الشيخ أحمد بن الجيلالي، وعن الشيخ المهدي بن محمد الوزاني، وغيرهم من الأشياخ.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فمن شعره هذه المقطعة الدالة على حالة اجتماعية في وقته كتب بها إلى محتسب فاس إدريس بن عبد السلام المقري مطلعها: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أبا العلاء الـــذي علـــت مفاخـــره</w:t>
      </w:r>
    </w:p>
    <w:p w:rsidR="004C2699" w:rsidRPr="00F60502" w:rsidRDefault="004C2699" w:rsidP="004C2699">
      <w:pPr>
        <w:bidi/>
        <w:ind w:left="475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على الزهراء كما علت على زحـل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إني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أردت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شراء السمن يا أملـــي</w:t>
      </w:r>
    </w:p>
    <w:p w:rsidR="004C2699" w:rsidRPr="00F60502" w:rsidRDefault="004C2699" w:rsidP="004C2699">
      <w:pPr>
        <w:bidi/>
        <w:ind w:left="475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عجــــل بتنفيـــذه يا </w:t>
      </w:r>
      <w:proofErr w:type="spellStart"/>
      <w:r w:rsidRPr="00F60502">
        <w:rPr>
          <w:rFonts w:ascii="Tahoma" w:hAnsi="Tahoma" w:cs="Tahoma"/>
          <w:sz w:val="32"/>
          <w:szCs w:val="32"/>
          <w:rtl/>
        </w:rPr>
        <w:t>إثمد</w:t>
      </w:r>
      <w:proofErr w:type="spellEnd"/>
      <w:r w:rsidRPr="00F60502">
        <w:rPr>
          <w:rFonts w:ascii="Tahoma" w:hAnsi="Tahoma" w:cs="Tahoma"/>
          <w:sz w:val="32"/>
          <w:szCs w:val="32"/>
          <w:rtl/>
        </w:rPr>
        <w:t xml:space="preserve"> المقـــل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وذلك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في جلده من نحو ربـــع وإن</w:t>
      </w:r>
    </w:p>
    <w:p w:rsidR="004C2699" w:rsidRPr="00F60502" w:rsidRDefault="004C2699" w:rsidP="004C2699">
      <w:pPr>
        <w:bidi/>
        <w:ind w:left="4752"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زادت بشيء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فما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علي مـن ثقـــل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 xml:space="preserve">كانت عادة أهل فاس يذخرون السمن في أيام الربيع وذلك لرخصه وجودته في ذلك الإبان وليأكلوه أيام الخريف والشتاء لفقدانه وانقطاع السبل. كما كانوا يدخرون الخليع </w:t>
      </w:r>
      <w:proofErr w:type="gramStart"/>
      <w:r w:rsidRPr="00F60502">
        <w:rPr>
          <w:rFonts w:ascii="Tahoma" w:hAnsi="Tahoma" w:cs="Tahoma"/>
          <w:sz w:val="32"/>
          <w:szCs w:val="32"/>
          <w:rtl/>
        </w:rPr>
        <w:t>في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أيام الخريف لأجل ذلك.</w:t>
      </w: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توفي رحمه الله، بمدينة فاس، عام 1343هـ الموافق لسنة 1912م ودفن بزاوية جده بزقاق البغل.</w:t>
      </w:r>
    </w:p>
    <w:p w:rsidR="004C2699" w:rsidRDefault="004C2699" w:rsidP="004C2699">
      <w:pPr>
        <w:bidi/>
        <w:jc w:val="both"/>
        <w:rPr>
          <w:rFonts w:ascii="Tahoma" w:hAnsi="Tahoma" w:cs="Tahoma"/>
          <w:sz w:val="32"/>
          <w:szCs w:val="32"/>
        </w:rPr>
      </w:pPr>
    </w:p>
    <w:p w:rsidR="004C2699" w:rsidRPr="00F60502" w:rsidRDefault="004C2699" w:rsidP="004C2699">
      <w:pPr>
        <w:bidi/>
        <w:jc w:val="both"/>
        <w:rPr>
          <w:rFonts w:ascii="Tahoma" w:hAnsi="Tahoma" w:cs="Tahoma"/>
          <w:sz w:val="32"/>
          <w:szCs w:val="32"/>
          <w:rtl/>
        </w:rPr>
      </w:pPr>
    </w:p>
    <w:sectPr w:rsidR="004C2699" w:rsidRPr="00F60502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699"/>
    <w:rsid w:val="0016655E"/>
    <w:rsid w:val="001E2F26"/>
    <w:rsid w:val="00385DBA"/>
    <w:rsid w:val="004C2699"/>
    <w:rsid w:val="00537CAA"/>
    <w:rsid w:val="005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2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2699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2</cp:revision>
  <dcterms:created xsi:type="dcterms:W3CDTF">2013-06-15T07:41:00Z</dcterms:created>
  <dcterms:modified xsi:type="dcterms:W3CDTF">2013-07-10T14:44:00Z</dcterms:modified>
</cp:coreProperties>
</file>